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8 / 238 vom 1. Juni 2021</w:t>
      </w:r>
    </w:p>
    <w:p>
      <w:r>
        <w:t>BL Gerichte, 2021-06-01, DE</w:t>
      </w:r>
    </w:p>
    <w:p>
      <w:r>
        <w:rPr>
          <w:b/>
        </w:rPr>
        <w:t xml:space="preserve">Quelle: </w:t>
      </w:r>
      <w:r>
        <w:t>https://mcp.opencaselaw.ch/entscheid/bl_gerichte_715 23 8 _ 238</w:t>
      </w:r>
    </w:p>
    <w:p>
      <w:r>
        <w:t>FR: BL_GERICHTE 715 23 8 / 238 du 1 juin 2021</w:t>
      </w:r>
    </w:p>
    <w:p>
      <w:r>
        <w:t>IT: BL_GERICHTE 715 23 8 / 238 del 1 giugno 2021</w:t>
      </w:r>
    </w:p>
    <w:p>
      <w:pPr>
        <w:pStyle w:val="Heading2"/>
      </w:pPr>
      <w:r>
        <w:t>Regeste</w:t>
      </w:r>
    </w:p>
    <w:p>
      <w:r>
        <w:t>Rückforderung von Arbeitslosenentschädigung infolge nachträglicher Aufrechnung des Zwischenverdiensts entsprechend dem berufs- und ortsüblichen Ansatz. Mangels (kausaler) Disposition fällt eine Berufung auf den Vertrauensschutz vorliegend ausser Betracht.</w:t>
      </w:r>
    </w:p>
    <w:p>
      <w:pPr>
        <w:pStyle w:val="Heading2"/>
      </w:pPr>
      <w:r>
        <w:t>Erwägungen</w:t>
      </w:r>
    </w:p>
    <w:p>
      <w:r>
        <w:rPr>
          <w:b/>
        </w:rPr>
        <w:t>E. 7</w:t>
      </w:r>
    </w:p>
    <w:p>
      <w:r>
        <w:t>Nach Art. 25 Abs. 2 ATSG erlischt der Rückforderungsanspruch mit dem Ablauf eines Jahres, nachdem die auszahlende Stelle davon Kenntnis erhalten hat (relative Frist), spätestens aber mit dem Ablauf von fünf Jahren nach der Entrichtung der einzelnen Leistung (absolute Frist). Bei diesen Fristen handelt es sich um Verwirkungsfristen (vgl. BGE 112 V 180, 111 V 135). Unter dem Ausdruck "nachdem die auszahlende Stelle davon Kenntnis erhalten hat" ist der Zeitpunkt zu verstehen, in welchem die Verwaltung bei Beachtung der ihr zumutbaren Aufmerksamkeit hätte erkennen müssen, dass die Voraussetzungen für eine Rückerstattung gegeben sind (BGE 122 V 270 E. 5a mit Hinweisen). Nach der Rechtsprechung ist dies nicht schon der Fall, wenn die Verwaltung nach den gesamten Umständen damit rechnen muss, dass möglicherweise ein Rückforderungstatbestand besteht. Vielmehr muss ihr bei Beachtung der ihr zumutbaren Aufmerksamkeit nicht nur der Rückforderungstatbestand, sondern insbesondere auch der Rückforderungsbetrag bekannt sein. Nötigenfalls hat die Verwaltung zusätzliche Abklärungen vorzunehmen. Lässt sie es hieran fehlen, ist der Beginn der Verwirkungsfrist auf den Zeitpunkt festzusetzen, in welchem sie mit dem erforderlichen und zumutbaren Einsatz diese Kenntnis hätte erlangen können (Urteil des Bundesgerichts vom 23. April 2004, C 214/03, E. 4.1 mit Hinweisen; BGE 119 V 431 E. 3a, 112 V 180 E. 4a). Die Berechnungen, welchen einen Taggeldanspruch für die Monate September bis November 2021 ausweisen datieren vom 5., 10. November 2021 und 3. Dezember 2021. Indem die Arbeitslosenkasse die strittige Rückforderungsverfügung in der Folge am 13. Januar 2022 erlassen hat, hat sie den Rückforderungsanspruch jedenfalls rechtzeitig innerhalb der einjährigen Frist gemäss Art. 25 Abs. 2 ATSG geltend gemacht. Dies gilt im Übrigen auch dann, wenn sie bei Aufwendung der erforderlichen Sorgfalt ihren Fehler bereits im Rahmen der Abklärungen im Juni bzw. August 2021 hätte erkennen müssen.</w:t>
      </w:r>
    </w:p>
    <w:p>
      <w:r>
        <w:rPr>
          <w:b/>
        </w:rPr>
        <w:t>E. 8</w:t>
      </w:r>
    </w:p>
    <w:p>
      <w:r>
        <w:t>Nach dem Gesagten ist festzuhalten, dass die Beschwerdegegnerin berechtigt war, von der Beschwerdeführerin den Betrag von Fr. 15'521.95 – der im Übrigen auch in seiner Höhe nicht zu beanstanden ist – zurückzufordern. Bei diesem Ergebnis ist die Beschwerde abzuweisen.</w:t>
      </w:r>
    </w:p>
    <w:p>
      <w:r>
        <w:rPr>
          <w:b/>
        </w:rPr>
        <w:t>E. 9</w:t>
      </w:r>
    </w:p>
    <w:p>
      <w:r>
        <w:t>Nach Art. 25 Abs. 1 Satz 2 ATSG muss diejenige Person, die Leistungen in gutem Glauben empfangen hat, diese nicht zurückerstatten, wenn eine grosse Härte vorliegt. Die Versicherte ist an dieser Stelle deshalb darauf hinzuweisen, dass sie ein entsprechendes Erlassgesuch stellen kann. Nach Art. 95 Abs. 3 AVIG hat die Kasse ein solches Erlassgesuch der kantonalen Amtsstelle zum Entscheid zu unterbreiten. Über ein allfälliges Erlassgesuch wird allerdings erst zu befinden sein, wenn die vorliegend strittige Rückforderungsverfügung rechtskräftig geworden ist.</w:t>
      </w:r>
    </w:p>
    <w:p>
      <w:r>
        <w:rPr>
          <w:b/>
        </w:rPr>
        <w:t>E. 10</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Dem Ausgang des Verfahrens entsprechend ist keine Parteientschädigung auszurichten. Demgemäss wird e r k a n n t : 1. Die Beschwerde wird abgewiesen. 2. Es werden keine Verfahrenskosten erhoben. 3. Eine Parteientschädigung wird nicht ausgerichtet. Gegen diesen Entscheid wurde am 27. November 2023 Beschwerde beim Bundesgericht (8C_755/2023)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